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IEEE UAE Section ExCom Meeting Minutes</w:t>
      </w:r>
    </w:p>
    <w:p w:rsidR="00000000" w:rsidDel="00000000" w:rsidP="00000000" w:rsidRDefault="00000000" w:rsidRPr="00000000">
      <w:pPr>
        <w:pBdr/>
        <w:contextualSpacing w:val="0"/>
        <w:jc w:val="center"/>
        <w:rPr>
          <w:sz w:val="24"/>
          <w:szCs w:val="24"/>
          <w:highlight w:val="white"/>
        </w:rPr>
      </w:pPr>
      <w:r w:rsidDel="00000000" w:rsidR="00000000" w:rsidRPr="00000000">
        <w:rPr>
          <w:rtl w:val="0"/>
        </w:rPr>
      </w:r>
    </w:p>
    <w:tbl>
      <w:tblPr>
        <w:tblStyle w:val="Table1"/>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Date &amp; Time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16th of April 2017 @ 6:15 PM</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Location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AURAK - Ras Al Khaima</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Attendees</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Essa Basaeed</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Mohammed Alzaabi</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Mouza Alshemaili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Boutheina Tlili </w:t>
            </w:r>
            <w:r w:rsidDel="00000000" w:rsidR="00000000" w:rsidRPr="00000000">
              <w:rPr>
                <w:sz w:val="24"/>
                <w:szCs w:val="24"/>
                <w:highlight w:val="white"/>
                <w:rtl w:val="0"/>
              </w:rPr>
              <w:t xml:space="preserve">(video call)</w:t>
            </w: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Essa Alsuwaidi</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Hussam Alhammadi</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Maen Takruri</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4"/>
                <w:szCs w:val="24"/>
                <w:highlight w:val="white"/>
              </w:rPr>
            </w:pPr>
            <w:r w:rsidDel="00000000" w:rsidR="00000000" w:rsidRPr="00000000">
              <w:rPr>
                <w:color w:val="212121"/>
                <w:sz w:val="24"/>
                <w:szCs w:val="24"/>
                <w:highlight w:val="white"/>
                <w:rtl w:val="0"/>
              </w:rPr>
              <w:t xml:space="preserve">Vishwesh Akre</w:t>
            </w:r>
          </w:p>
          <w:p w:rsidR="00000000" w:rsidDel="00000000" w:rsidP="00000000" w:rsidRDefault="00000000" w:rsidRPr="00000000">
            <w:pPr>
              <w:widowControl w:val="0"/>
              <w:numPr>
                <w:ilvl w:val="0"/>
                <w:numId w:val="3"/>
              </w:numPr>
              <w:pBdr/>
              <w:spacing w:line="240" w:lineRule="auto"/>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Piyush Maheshwari </w:t>
            </w:r>
            <w:r w:rsidDel="00000000" w:rsidR="00000000" w:rsidRPr="00000000">
              <w:rPr>
                <w:sz w:val="24"/>
                <w:szCs w:val="24"/>
                <w:highlight w:val="white"/>
                <w:rtl w:val="0"/>
              </w:rPr>
              <w:t xml:space="preserve">(video call)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Duration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01:00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Number of Discussed Motions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8</w:t>
            </w:r>
          </w:p>
        </w:tc>
      </w:tr>
    </w:tbl>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[Updates] The IEEE workshop on Solar Energy</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Sponsoring 10 students to attend IEEE GCC SYP 2017</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Sponsoring AUS student trip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Allocation of funds for students activities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Sponsoring IEEE Seminars on Future Technologies</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Hosting IEEE R8 OpCom in Nov </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Anonymous review of IEEE student day</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Approval of ICECTA 2017</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Travel Fund to attend women in Engineering International Leadership conference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Technical Activities: Dr. Mouza</w:t>
      </w:r>
    </w:p>
    <w:p w:rsidR="00000000" w:rsidDel="00000000" w:rsidP="00000000" w:rsidRDefault="00000000" w:rsidRPr="00000000">
      <w:pPr>
        <w:pBdr/>
        <w:contextualSpacing w:val="0"/>
        <w:rPr/>
      </w:pPr>
      <w:r w:rsidDel="00000000" w:rsidR="00000000" w:rsidRPr="00000000">
        <w:rPr>
          <w:rtl w:val="0"/>
        </w:rPr>
        <w:t xml:space="preserve">Student activities: Dr. Maen</w:t>
      </w:r>
    </w:p>
    <w:p w:rsidR="00000000" w:rsidDel="00000000" w:rsidP="00000000" w:rsidRDefault="00000000" w:rsidRPr="00000000">
      <w:pPr>
        <w:pBdr/>
        <w:contextualSpacing w:val="0"/>
        <w:rPr>
          <w:rFonts w:ascii="Verdana" w:cs="Verdana" w:eastAsia="Verdana" w:hAnsi="Verdana"/>
          <w:color w:val="333333"/>
          <w:sz w:val="21"/>
          <w:szCs w:val="21"/>
          <w:highlight w:val="white"/>
        </w:rPr>
      </w:pPr>
      <w:r w:rsidDel="00000000" w:rsidR="00000000" w:rsidRPr="00000000">
        <w:rPr>
          <w:rFonts w:ascii="Verdana" w:cs="Verdana" w:eastAsia="Verdana" w:hAnsi="Verdana"/>
          <w:color w:val="333333"/>
          <w:sz w:val="21"/>
          <w:szCs w:val="21"/>
          <w:highlight w:val="white"/>
          <w:rtl w:val="0"/>
        </w:rPr>
        <w:t xml:space="preserve">Member Activities Chair: Dr. Boutheina</w:t>
      </w:r>
    </w:p>
    <w:p w:rsidR="00000000" w:rsidDel="00000000" w:rsidP="00000000" w:rsidRDefault="00000000" w:rsidRPr="00000000">
      <w:pPr>
        <w:pBdr/>
        <w:contextualSpacing w:val="0"/>
        <w:rPr>
          <w:rFonts w:ascii="Verdana" w:cs="Verdana" w:eastAsia="Verdana" w:hAnsi="Verdana"/>
          <w:color w:val="333333"/>
          <w:sz w:val="21"/>
          <w:szCs w:val="21"/>
          <w:highlight w:val="whit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360" w:hanging="360"/>
        <w:contextualSpacing w:val="1"/>
        <w:rPr>
          <w:b w:val="1"/>
          <w:u w:val="none"/>
        </w:rPr>
      </w:pPr>
      <w:r w:rsidDel="00000000" w:rsidR="00000000" w:rsidRPr="00000000">
        <w:rPr>
          <w:b w:val="1"/>
          <w:rtl w:val="0"/>
        </w:rPr>
        <w:t xml:space="preserve">Updates on the IEEE workshop on Solar Energy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Background</w:t>
      </w:r>
      <w:r w:rsidDel="00000000" w:rsidR="00000000" w:rsidRPr="00000000">
        <w:rPr>
          <w:rtl w:val="0"/>
        </w:rPr>
        <w:t xml:space="preserve">: Some difficulties are being faced in approving the seminar by the current sponsor (DEWA). DEWA would like to have the workshop about IEEE and how DEWA employees can benefit from their enrollment with IEEE.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 </w:t>
      </w:r>
      <w:r w:rsidDel="00000000" w:rsidR="00000000" w:rsidRPr="00000000">
        <w:rPr>
          <w:b w:val="1"/>
          <w:rtl w:val="0"/>
        </w:rPr>
        <w:t xml:space="preserve">Sponsoring 10 students to attend IEEE GCC SYP 2017</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w:t>
      </w:r>
      <w:r w:rsidDel="00000000" w:rsidR="00000000" w:rsidRPr="00000000">
        <w:rPr>
          <w:rtl w:val="0"/>
        </w:rPr>
        <w:t xml:space="preserve">: IEEE GCC is a flagship conference for IEEE sections in GCC. All sections are requested by the steering committee to sponsor 10 students to attend IEEE GCC SYP.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allocate AED 10,000 to sponsor 10 students to attend the event based on the following conditions: shared accommodation 2 per room, reimbursement basis, 3 nights maximum.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Dr. Wathiq to select, inform, and follow up with the students. Eng. Adnan to allocate the fund.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3. Sponsoring AUS student trip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 </w:t>
      </w:r>
      <w:r w:rsidDel="00000000" w:rsidR="00000000" w:rsidRPr="00000000">
        <w:rPr>
          <w:rtl w:val="0"/>
        </w:rPr>
        <w:t xml:space="preserve">AUS is one of the leading universities in the country and its student branch is one of the most active students branches. The student branch requested financial sponsorship for their educational trip.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allocate the total of AED 5000 for the educational trip, subject to the following conditions:</w:t>
      </w:r>
    </w:p>
    <w:p w:rsidR="00000000" w:rsidDel="00000000" w:rsidP="00000000" w:rsidRDefault="00000000" w:rsidRPr="00000000">
      <w:pPr>
        <w:pBdr/>
        <w:contextualSpacing w:val="0"/>
        <w:rPr>
          <w:color w:val="212121"/>
          <w:sz w:val="20"/>
          <w:szCs w:val="20"/>
          <w:highlight w:val="white"/>
        </w:rPr>
      </w:pPr>
      <w:r w:rsidDel="00000000" w:rsidR="00000000" w:rsidRPr="00000000">
        <w:rPr>
          <w:color w:val="212121"/>
          <w:sz w:val="20"/>
          <w:szCs w:val="20"/>
          <w:highlight w:val="white"/>
          <w:rtl w:val="0"/>
        </w:rPr>
        <w:t xml:space="preserve">1. Submission of student branch report 2015</w:t>
      </w:r>
    </w:p>
    <w:p w:rsidR="00000000" w:rsidDel="00000000" w:rsidP="00000000" w:rsidRDefault="00000000" w:rsidRPr="00000000">
      <w:pPr>
        <w:pBdr/>
        <w:contextualSpacing w:val="0"/>
        <w:rPr>
          <w:color w:val="212121"/>
          <w:sz w:val="20"/>
          <w:szCs w:val="20"/>
          <w:highlight w:val="white"/>
        </w:rPr>
      </w:pPr>
      <w:r w:rsidDel="00000000" w:rsidR="00000000" w:rsidRPr="00000000">
        <w:rPr>
          <w:color w:val="212121"/>
          <w:sz w:val="20"/>
          <w:szCs w:val="20"/>
          <w:highlight w:val="white"/>
          <w:rtl w:val="0"/>
        </w:rPr>
        <w:t xml:space="preserve">2. Submission of a news article to UAE's newsletter, R8 news, and potentials magazine.</w:t>
      </w:r>
    </w:p>
    <w:p w:rsidR="00000000" w:rsidDel="00000000" w:rsidP="00000000" w:rsidRDefault="00000000" w:rsidRPr="00000000">
      <w:pPr>
        <w:pBdr/>
        <w:contextualSpacing w:val="0"/>
        <w:rPr>
          <w:color w:val="212121"/>
          <w:sz w:val="20"/>
          <w:szCs w:val="20"/>
          <w:highlight w:val="white"/>
        </w:rPr>
      </w:pPr>
      <w:r w:rsidDel="00000000" w:rsidR="00000000" w:rsidRPr="00000000">
        <w:rPr>
          <w:color w:val="212121"/>
          <w:sz w:val="20"/>
          <w:szCs w:val="20"/>
          <w:highlight w:val="white"/>
          <w:rtl w:val="0"/>
        </w:rPr>
        <w:t xml:space="preserve">3. Promise to submit student branch report in 2016.</w:t>
      </w:r>
    </w:p>
    <w:p w:rsidR="00000000" w:rsidDel="00000000" w:rsidP="00000000" w:rsidRDefault="00000000" w:rsidRPr="00000000">
      <w:pPr>
        <w:pBdr/>
        <w:contextualSpacing w:val="0"/>
        <w:rPr>
          <w:color w:val="212121"/>
          <w:sz w:val="20"/>
          <w:szCs w:val="20"/>
          <w:highlight w:val="white"/>
        </w:rPr>
      </w:pPr>
      <w:r w:rsidDel="00000000" w:rsidR="00000000" w:rsidRPr="00000000">
        <w:rPr>
          <w:color w:val="212121"/>
          <w:sz w:val="20"/>
          <w:szCs w:val="20"/>
          <w:highlight w:val="white"/>
          <w:rtl w:val="0"/>
        </w:rPr>
        <w:t xml:space="preserve">4. Promise to submit an application for R8 exemplary student branch award next year.</w:t>
      </w:r>
    </w:p>
    <w:p w:rsidR="00000000" w:rsidDel="00000000" w:rsidP="00000000" w:rsidRDefault="00000000" w:rsidRPr="00000000">
      <w:pPr>
        <w:pBdr/>
        <w:contextualSpacing w:val="0"/>
        <w:rPr/>
      </w:pPr>
      <w:r w:rsidDel="00000000" w:rsidR="00000000" w:rsidRPr="00000000">
        <w:rPr>
          <w:color w:val="212121"/>
          <w:sz w:val="20"/>
          <w:szCs w:val="20"/>
          <w:highlight w:val="white"/>
          <w:rtl w:val="0"/>
        </w:rPr>
        <w:t xml:space="preserve">5. Presentation of receipts equivalent (or exceeding) the fund amount.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Rejected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4. Allocation of funds for students activities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w:t>
      </w:r>
      <w:r w:rsidDel="00000000" w:rsidR="00000000" w:rsidRPr="00000000">
        <w:rPr>
          <w:rtl w:val="0"/>
        </w:rPr>
        <w:t xml:space="preserve"> In the annual rebate, the IEEE pays the section for each active member (including student members).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allocate to students activity committee the same amount as received from IEEE HQ for student membership statistics.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Dr. Wathiq to follow up and Eng. Adnan to allocate the fund.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 </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5. Sponsoring IEEE Seminars on Future Technologies (10 May)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w:t>
      </w:r>
      <w:r w:rsidDel="00000000" w:rsidR="00000000" w:rsidRPr="00000000">
        <w:rPr>
          <w:rtl w:val="0"/>
        </w:rPr>
        <w:t xml:space="preserve"> IEEE seminars on Future Technologies is a one day summit of 5 seminars including one distinguished lecturer seminar. It aims to connect academic institutions with members from the industry.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allocate total funds of AED 30,000 for the event, provided that the organization committee is actively looking for a sponsorship.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Dr. Essa to coordinate and Eng. Adnan to allocate the fund.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6. </w:t>
      </w:r>
      <w:r w:rsidDel="00000000" w:rsidR="00000000" w:rsidRPr="00000000">
        <w:rPr>
          <w:b w:val="1"/>
          <w:rtl w:val="0"/>
        </w:rPr>
        <w:t xml:space="preserve">Hosting IEEE R8 OpCom in Nov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Background</w:t>
      </w:r>
      <w:r w:rsidDel="00000000" w:rsidR="00000000" w:rsidRPr="00000000">
        <w:rPr>
          <w:rtl w:val="0"/>
        </w:rPr>
        <w:t xml:space="preserve">: In order to build a stronger relationship with Region 8, it is suggested to host the OpCom meeting in the UAE.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Motion</w:t>
      </w:r>
      <w:r w:rsidDel="00000000" w:rsidR="00000000" w:rsidRPr="00000000">
        <w:rPr>
          <w:rtl w:val="0"/>
        </w:rPr>
        <w:t xml:space="preserve">: invite R8 OpCom to hold their November meeting in the UAE.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Action</w:t>
      </w:r>
      <w:r w:rsidDel="00000000" w:rsidR="00000000" w:rsidRPr="00000000">
        <w:rPr>
          <w:rtl w:val="0"/>
        </w:rPr>
        <w:t xml:space="preserve">: Dr. Essa to invite R8 OpCom</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Passed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7. Anonymous review of IEEE student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w:t>
      </w:r>
      <w:r w:rsidDel="00000000" w:rsidR="00000000" w:rsidRPr="00000000">
        <w:rPr>
          <w:rtl w:val="0"/>
        </w:rPr>
        <w:t xml:space="preserve">: Some comments were received regarding how to improve IEEE student day. These comments must be considered effectively.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seek for anonymous review of IEEE student day annually.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Dr. Wathiq to follow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8. Technical Sponsorship of ICECTA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Background</w:t>
      </w:r>
      <w:r w:rsidDel="00000000" w:rsidR="00000000" w:rsidRPr="00000000">
        <w:rPr>
          <w:rtl w:val="0"/>
        </w:rPr>
        <w:t xml:space="preserve">: The American University of Ras Al Khaimah (AURAK) is organizing the International Conference on Electrical and Computing Technologies and Applications (ICECTA'2017) in the period November 21-23, 2017. The conference focuses on the latest theoretical and practical developments in the fields of Electrical Engineering, Computing Technologies, their Applications and the related fields.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to accept the technical sponsorship of ICECTA 2017 upon the fulfillment of all uae section requirements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secretary to follow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9. Travel Fund to attend women in Engineering International Leadership conference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Motion</w:t>
      </w:r>
      <w:r w:rsidDel="00000000" w:rsidR="00000000" w:rsidRPr="00000000">
        <w:rPr>
          <w:rtl w:val="0"/>
        </w:rPr>
        <w:t xml:space="preserve">: allocate AED 10,000 as financial sponsorship for Dr. Tlili to attend the aforementioned event on reimbursement basis.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Action</w:t>
      </w:r>
      <w:r w:rsidDel="00000000" w:rsidR="00000000" w:rsidRPr="00000000">
        <w:rPr>
          <w:rtl w:val="0"/>
        </w:rPr>
        <w:t xml:space="preserve">: Eng. Adnan to allocate AED 10,000.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Passed</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